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Chapter Eleven Questions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Why does Blore call Miss. Brent’s decision to go for a morning walk “exceedingly foolish”?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What does Vera notice? What does this indicate to us?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What do you make of Vera’s hysterics ( especially regarding the bees) ? Do you think they are justified? Why or why not?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What do we learn about Mr. Blore’s past? Did you expect this?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What does Miss. Brent’s dream about Beatrice Taylor highlight to us?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Chapter Twelve Questions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Miss Brent yells “No!” when Dr. Armstrong offers to help her, why do you think this may be?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How did the Murderer manage to kill and maintain the poem?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Why do they search everyone’s room? Where do they put everything that has been found?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What do you think of Mr. Lombard’s missing revolver? What do you think happened to 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Wargrave suggests that they all stay together, yet one of them is the murderer, why would he suggest this?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