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“And Then There Were None” -  Chapter Fifteen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does Blore suggest about Lombard?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important point does Vera make?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Why does Vera call them the Zoo?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Why does Vera enjoy being outside so much?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When Lombard tells Vera that Bloor can’t be completely ruled out what does this suggest about Lombard?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does Lombard get Vera to confess 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Why do Vera and Lombard refrain from going in the house and plan to stay outside all night?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“And Then There Were None” - Chapter Sixteen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option  are Vera and Lombard left with? What does Vera finally notice about Lombard?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do you think of Vera’s decision? Are you surprised?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 How does Vera feel now?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What realization does Vera finally come to?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